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4E4F" w14:textId="7FF6A5EE" w:rsidR="00B33CF3" w:rsidRDefault="00B33CF3" w:rsidP="00B33CF3">
      <w:pPr>
        <w:jc w:val="both"/>
      </w:pPr>
      <w:r>
        <w:t xml:space="preserve">Soojuse piirhinna arvutamise metoodika kujundamise aluspõhimõtted on vajalik sätestada seaduses, sest soojuse hinna kooskõlastamine mõjutab vahetult nii soojusettevõtja ettevõtlusvabadust, kui ka tarbijate kohustust tasuda monopoolses võrgupiirkonnas osutatava elutähtsa teenuse eest. Põhiseaduse </w:t>
      </w:r>
      <w:r w:rsidRPr="00F86AD8">
        <w:t xml:space="preserve">§ 3 lg 1 esimesest lausest tulenev parlamendireservatsiooni e olulisuse põhimõte nõuab, et kõik riigielus olulised küsimused otsustab Riigikogu. </w:t>
      </w:r>
      <w:r>
        <w:t xml:space="preserve">Põhiseadus ei keela Riigikogu pädevuses olevate küsimuste delegeerimist täitevvõimule, kui seaduses on piisavalt määratletud täitevvõimu tegutsemise alused ja tingimused.  </w:t>
      </w:r>
    </w:p>
    <w:p w14:paraId="2F4B19B9" w14:textId="0EBF2E6A" w:rsidR="00B33CF3" w:rsidRDefault="00B33CF3" w:rsidP="00B33CF3">
      <w:pPr>
        <w:jc w:val="both"/>
      </w:pPr>
      <w:r>
        <w:t xml:space="preserve">Praegu on fikseeritud, millistest meetoditest lähtub Konkurentsiamet kulude põhjendatuse hindamisel, milliseid kulusid ei arvestata soojuse piirhinda, mida ei arvestata põhivara hulka, kuidas arvutatakse põhjendatud tulukust, jne vaid Konkurentsiameti koostatud metoodikas, mitte seaduses. See ei ole kooskõlas parlamendireservatsiooni põhimõttega, sest Konkurentsiametile </w:t>
      </w:r>
      <w:proofErr w:type="spellStart"/>
      <w:r>
        <w:t>KKütS-iga</w:t>
      </w:r>
      <w:proofErr w:type="spellEnd"/>
      <w:r>
        <w:t xml:space="preserve"> antud </w:t>
      </w:r>
      <w:r w:rsidRPr="000E50C7">
        <w:t>üldisest pädevusest kooskõlastada soojuse piirhind</w:t>
      </w:r>
      <w:r>
        <w:t>,</w:t>
      </w:r>
      <w:r w:rsidRPr="000E50C7">
        <w:t xml:space="preserve"> ei saa tuletada piiramatut õigust otsustada metoodika tasandil kõiki hinna kujunemist mõjutavaid materiaalõiguslikke küsimusi.</w:t>
      </w:r>
      <w:r>
        <w:t xml:space="preserve"> </w:t>
      </w:r>
      <w:r w:rsidRPr="00862C82">
        <w:t xml:space="preserve">Seadusandja peab määrama hinnakujunduse </w:t>
      </w:r>
      <w:r>
        <w:t xml:space="preserve">olulised põhimõtted ning andma Konkurentsiametile volitusnormi kehtestada metoodikaga </w:t>
      </w:r>
      <w:r w:rsidRPr="00B823BD">
        <w:t>nende põhimõtete rakendamiseks vajalike</w:t>
      </w:r>
      <w:r>
        <w:t xml:space="preserve"> elementide</w:t>
      </w:r>
      <w:r w:rsidRPr="00B823BD">
        <w:t xml:space="preserve"> üksikasjalik</w:t>
      </w:r>
      <w:r>
        <w:t xml:space="preserve"> regulatsioon.</w:t>
      </w:r>
    </w:p>
    <w:p w14:paraId="0DBA885B" w14:textId="1379001B" w:rsidR="00B33CF3" w:rsidRPr="00E705D9" w:rsidRDefault="00B33CF3" w:rsidP="00B33CF3">
      <w:pPr>
        <w:jc w:val="both"/>
      </w:pPr>
      <w:r w:rsidRPr="00E705D9">
        <w:t xml:space="preserve">Juhime tähelepanu, et tegemist ei ole Eesti hinnaregulatsioonis lahendamata või uudse küsimusega. Elektri-, gaasi- ja veesektoris on seadusandja pidanud vajalikuks sätestada hinnakujunduse olulised alused seaduse tasandil ning jätta Konkurentsiametile nende rakendamise ja täpsustamise ülesanne. </w:t>
      </w:r>
    </w:p>
    <w:p w14:paraId="261821B2" w14:textId="10A0A4FE" w:rsidR="00BF795F" w:rsidRPr="00BF795F" w:rsidRDefault="00B33CF3" w:rsidP="00E705D9">
      <w:pPr>
        <w:jc w:val="both"/>
      </w:pPr>
      <w:r w:rsidRPr="00E705D9">
        <w:t>Kaugküttes on vastav seadusandlik töö seevastu sisuliselt lõpule viimata.</w:t>
      </w:r>
      <w:r w:rsidRPr="00B33CF3">
        <w:t xml:space="preserve"> Küsimused, mille otsustamine peaks nende olulisuse tõttu kuuluma seadusandjale, on jäetud suures osas Konkurentsiameti enda koostatud metoodika reguleerida. Selline erinevus ei ole põhjendatav üksnes kaugküttesektori eripäraga. Pigem osutab see </w:t>
      </w:r>
      <w:proofErr w:type="spellStart"/>
      <w:r w:rsidRPr="00B33CF3">
        <w:t>KKütS-i</w:t>
      </w:r>
      <w:proofErr w:type="spellEnd"/>
      <w:r w:rsidRPr="00B33CF3">
        <w:t xml:space="preserve"> regulatsiooni puudulikule arengule võrreldes teiste reguleeritud sektoritega. Seadusandjal tuleb see lünk kõrvaldada ning sätestada </w:t>
      </w:r>
      <w:proofErr w:type="spellStart"/>
      <w:r w:rsidRPr="00B33CF3">
        <w:t>KKütS-is</w:t>
      </w:r>
      <w:proofErr w:type="spellEnd"/>
      <w:r w:rsidRPr="00B33CF3">
        <w:t xml:space="preserve"> vähemalt hinnakujunduse materiaalõiguslikud põhialused, volitades Konkurentsiametit reguleerima üksnes nende rakendamiseks vajalikke tehnilisi ja metoodilisi üksikasju.</w:t>
      </w:r>
      <w:r w:rsidR="00F5152B">
        <w:t xml:space="preserve"> </w:t>
      </w:r>
      <w:r w:rsidR="00BF795F" w:rsidRPr="00BF795F">
        <w:t xml:space="preserve">Hinnakujunduse </w:t>
      </w:r>
      <w:r w:rsidR="00BF795F">
        <w:t xml:space="preserve">metoodika </w:t>
      </w:r>
      <w:r w:rsidR="00BF795F" w:rsidRPr="00BF795F">
        <w:t xml:space="preserve">oluliste põhimõtete seaduse tasandil sätestamata jätmine ei tekita üksnes õiguslikku ebaselgust, vaid toob kaasa ka ebamõistliku ressursikulu. </w:t>
      </w:r>
    </w:p>
    <w:p w14:paraId="4FCEAF3C" w14:textId="77777777" w:rsidR="00E705D9" w:rsidRDefault="00E705D9" w:rsidP="00E705D9">
      <w:pPr>
        <w:jc w:val="both"/>
      </w:pPr>
      <w:r w:rsidRPr="00E705D9">
        <w:t xml:space="preserve">Riigi eesmärk vähendada valitsemiskulusid ja suurendada tehisintellekti kasutamise kaudu avaliku sektori tõhusust eeldab lisaks tööprotsesside optimeerimisele ka õigusraamistiku enda kriitilist hindamist. Tehisintellekti kasutamine võib vähendada rutiinset halduskoormust, kuid see ei kõrvalda puudulikust või ebaselgest regulatsioonist tulenevat sisulist menetluskoormust. Kui ameti tasandil kasutatavad võimalused töö tõhustamiseks on ammendatud, tuleb seadusandjal tagada, et regulatsiooni selgus ja detailsus oleksid vastavuses ülesande täitmiseks tegelikult kasutada oleva ressursiga. </w:t>
      </w:r>
      <w:r w:rsidRPr="00E705D9">
        <w:lastRenderedPageBreak/>
        <w:t xml:space="preserve">Vastasel juhul tekib olukord, kus ühelt poolt vähendatakse </w:t>
      </w:r>
      <w:proofErr w:type="spellStart"/>
      <w:r w:rsidRPr="00E705D9">
        <w:t>hinnaregulatsiooni</w:t>
      </w:r>
      <w:proofErr w:type="spellEnd"/>
      <w:r w:rsidRPr="00E705D9">
        <w:t xml:space="preserve"> teostamiseks vajalikku haldusressurssi, kuid teiselt poolt säilitatakse õigusraamistik, mis nõuab selle rakendamiseks ebaproportsionaalselt suurt menetlus- ja selgitustööd. See võib lõppastmes seada ohtu Konkurentsiametile seadusega pandud </w:t>
      </w:r>
      <w:proofErr w:type="spellStart"/>
      <w:r w:rsidRPr="00E705D9">
        <w:t>hinnaregulatsiooni</w:t>
      </w:r>
      <w:proofErr w:type="spellEnd"/>
      <w:r w:rsidRPr="00E705D9">
        <w:t xml:space="preserve"> ülesannete sisulise ja nõuetekohase täitmise.</w:t>
      </w:r>
    </w:p>
    <w:p w14:paraId="7956A51E" w14:textId="68A8934F" w:rsidR="006B5839" w:rsidRPr="00E705D9" w:rsidRDefault="006B5839" w:rsidP="00E705D9">
      <w:pPr>
        <w:jc w:val="both"/>
      </w:pPr>
      <w:r>
        <w:t xml:space="preserve">Hinnaregulatsiooni alla kuuluvate sektorite ettevõtjate käive, arv ja Konkurentsiameti </w:t>
      </w:r>
      <w:r w:rsidR="00E16ADA">
        <w:t>tööjõu</w:t>
      </w:r>
      <w:r>
        <w:t xml:space="preserve">ressurss (2026) </w:t>
      </w:r>
      <w:r w:rsidR="00382509">
        <w:t>hinna</w:t>
      </w:r>
      <w:r>
        <w:t>menetluste läbiviimiseks vt joonis 1:</w:t>
      </w:r>
    </w:p>
    <w:p w14:paraId="3E6D5835" w14:textId="657FBE31" w:rsidR="006B5839" w:rsidRDefault="006B5839" w:rsidP="00BF795F">
      <w:r>
        <w:rPr>
          <w:noProof/>
        </w:rPr>
        <w:drawing>
          <wp:inline distT="0" distB="0" distL="0" distR="0" wp14:anchorId="70B038E9" wp14:editId="33843E0D">
            <wp:extent cx="4981575" cy="2695575"/>
            <wp:effectExtent l="0" t="0" r="9525" b="9525"/>
            <wp:docPr id="1276270777" name="Diagramm 1">
              <a:extLst xmlns:a="http://schemas.openxmlformats.org/drawingml/2006/main">
                <a:ext uri="{FF2B5EF4-FFF2-40B4-BE49-F238E27FC236}">
                  <a16:creationId xmlns:a16="http://schemas.microsoft.com/office/drawing/2014/main" id="{82B3DAF2-FDCB-A3F7-6656-D0A86A322F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BB80DBB" w14:textId="3DB03414" w:rsidR="006B5839" w:rsidRDefault="006B5839" w:rsidP="00BF795F">
      <w:r>
        <w:t>Joonis 1</w:t>
      </w:r>
    </w:p>
    <w:p w14:paraId="6BF459A3" w14:textId="72E5A11B" w:rsidR="00E705D9" w:rsidRDefault="00660802" w:rsidP="00307F1A">
      <w:pPr>
        <w:jc w:val="both"/>
      </w:pPr>
      <w:r>
        <w:t>H</w:t>
      </w:r>
      <w:r w:rsidR="00E705D9">
        <w:t xml:space="preserve">innaregulatsiooni </w:t>
      </w:r>
      <w:r w:rsidR="001D5B6B">
        <w:t xml:space="preserve"> </w:t>
      </w:r>
      <w:r w:rsidR="00534C44">
        <w:t xml:space="preserve">seadusandlust, </w:t>
      </w:r>
      <w:r w:rsidR="00265F34">
        <w:t>metoodikat</w:t>
      </w:r>
      <w:r w:rsidR="00FD59D0">
        <w:t xml:space="preserve"> või</w:t>
      </w:r>
      <w:r w:rsidR="00265F34">
        <w:t xml:space="preserve"> </w:t>
      </w:r>
      <w:r w:rsidR="001D5B6B">
        <w:t xml:space="preserve">hinnakujundust </w:t>
      </w:r>
      <w:r w:rsidR="00E705D9">
        <w:t xml:space="preserve"> puudutavate päringute/</w:t>
      </w:r>
      <w:r w:rsidR="00422D93">
        <w:t>selgitustaotluste</w:t>
      </w:r>
      <w:r w:rsidR="001D5B6B">
        <w:t xml:space="preserve"> hulk, mis on vajanud täiendavat sisulist selgitust</w:t>
      </w:r>
      <w:r w:rsidR="001E61F0">
        <w:t xml:space="preserve"> tarbija</w:t>
      </w:r>
      <w:r w:rsidR="00B830F0">
        <w:t>te</w:t>
      </w:r>
      <w:r w:rsidR="001E61F0">
        <w:t>le</w:t>
      </w:r>
      <w:r w:rsidR="00B830F0">
        <w:t>,</w:t>
      </w:r>
      <w:r w:rsidR="001E61F0">
        <w:t xml:space="preserve"> </w:t>
      </w:r>
      <w:r w:rsidR="00B830F0">
        <w:t>avalikkusele ja kolmandatele osapooltele</w:t>
      </w:r>
      <w:r w:rsidR="001D5B6B">
        <w:t xml:space="preserve">, on </w:t>
      </w:r>
      <w:r w:rsidR="00E705D9">
        <w:t xml:space="preserve">aastatel 2024-2026 (seisuga 15.10.2026) </w:t>
      </w:r>
      <w:r w:rsidR="006A3677">
        <w:t>energia</w:t>
      </w:r>
      <w:r w:rsidR="00E705D9">
        <w:t>sektorite kaupa</w:t>
      </w:r>
      <w:r w:rsidR="006B5839">
        <w:t xml:space="preserve"> olnud järgmine</w:t>
      </w:r>
      <w:r w:rsidR="00D309E0">
        <w:rPr>
          <w:rStyle w:val="Allmrkuseviide"/>
        </w:rPr>
        <w:footnoteReference w:id="1"/>
      </w:r>
      <w:r w:rsidR="006B5839">
        <w:t>:</w:t>
      </w:r>
    </w:p>
    <w:tbl>
      <w:tblPr>
        <w:tblW w:w="4320" w:type="dxa"/>
        <w:tblCellMar>
          <w:left w:w="70" w:type="dxa"/>
          <w:right w:w="70" w:type="dxa"/>
        </w:tblCellMar>
        <w:tblLook w:val="04A0" w:firstRow="1" w:lastRow="0" w:firstColumn="1" w:lastColumn="0" w:noHBand="0" w:noVBand="1"/>
      </w:tblPr>
      <w:tblGrid>
        <w:gridCol w:w="1080"/>
        <w:gridCol w:w="1080"/>
        <w:gridCol w:w="1080"/>
        <w:gridCol w:w="1080"/>
      </w:tblGrid>
      <w:tr w:rsidR="001D5B6B" w:rsidRPr="006B5839" w14:paraId="69545114" w14:textId="77777777" w:rsidTr="001D5B6B">
        <w:trPr>
          <w:trHeight w:val="285"/>
        </w:trPr>
        <w:tc>
          <w:tcPr>
            <w:tcW w:w="1080" w:type="dxa"/>
            <w:tcBorders>
              <w:top w:val="single" w:sz="4" w:space="0" w:color="auto"/>
              <w:left w:val="single" w:sz="4" w:space="0" w:color="auto"/>
              <w:bottom w:val="single" w:sz="4" w:space="0" w:color="auto"/>
              <w:right w:val="single" w:sz="4" w:space="0" w:color="auto"/>
            </w:tcBorders>
            <w:noWrap/>
            <w:vAlign w:val="bottom"/>
            <w:hideMark/>
          </w:tcPr>
          <w:p w14:paraId="63588FC9" w14:textId="73D405FF"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t xml:space="preserve"> </w:t>
            </w:r>
            <w:r w:rsidRPr="006B5839">
              <w:rPr>
                <w:rFonts w:ascii="Aptos Narrow" w:eastAsia="Times New Roman" w:hAnsi="Aptos Narrow" w:cs="Times New Roman"/>
                <w:color w:val="000000"/>
                <w:kern w:val="0"/>
                <w:sz w:val="22"/>
                <w:szCs w:val="22"/>
                <w:lang w:eastAsia="et-EE"/>
                <w14:ligatures w14:val="none"/>
              </w:rPr>
              <w:t> </w:t>
            </w:r>
          </w:p>
        </w:tc>
        <w:tc>
          <w:tcPr>
            <w:tcW w:w="1080" w:type="dxa"/>
            <w:tcBorders>
              <w:top w:val="single" w:sz="4" w:space="0" w:color="auto"/>
              <w:left w:val="nil"/>
              <w:bottom w:val="single" w:sz="4" w:space="0" w:color="auto"/>
              <w:right w:val="single" w:sz="4" w:space="0" w:color="auto"/>
            </w:tcBorders>
            <w:noWrap/>
            <w:vAlign w:val="bottom"/>
            <w:hideMark/>
          </w:tcPr>
          <w:p w14:paraId="57910A94"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kaugküte</w:t>
            </w:r>
          </w:p>
        </w:tc>
        <w:tc>
          <w:tcPr>
            <w:tcW w:w="1080" w:type="dxa"/>
            <w:tcBorders>
              <w:top w:val="single" w:sz="4" w:space="0" w:color="auto"/>
              <w:left w:val="nil"/>
              <w:bottom w:val="single" w:sz="4" w:space="0" w:color="auto"/>
              <w:right w:val="single" w:sz="4" w:space="0" w:color="auto"/>
            </w:tcBorders>
            <w:noWrap/>
            <w:vAlign w:val="bottom"/>
            <w:hideMark/>
          </w:tcPr>
          <w:p w14:paraId="724FB391"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elekter</w:t>
            </w:r>
          </w:p>
        </w:tc>
        <w:tc>
          <w:tcPr>
            <w:tcW w:w="1080" w:type="dxa"/>
            <w:tcBorders>
              <w:top w:val="single" w:sz="4" w:space="0" w:color="auto"/>
              <w:left w:val="nil"/>
              <w:bottom w:val="single" w:sz="4" w:space="0" w:color="auto"/>
              <w:right w:val="single" w:sz="4" w:space="0" w:color="auto"/>
            </w:tcBorders>
            <w:noWrap/>
            <w:vAlign w:val="bottom"/>
            <w:hideMark/>
          </w:tcPr>
          <w:p w14:paraId="76A8BFC7"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gaas</w:t>
            </w:r>
          </w:p>
        </w:tc>
      </w:tr>
      <w:tr w:rsidR="001D5B6B" w:rsidRPr="006B5839" w14:paraId="1F16593A" w14:textId="77777777" w:rsidTr="001D5B6B">
        <w:trPr>
          <w:trHeight w:val="285"/>
        </w:trPr>
        <w:tc>
          <w:tcPr>
            <w:tcW w:w="1080" w:type="dxa"/>
            <w:tcBorders>
              <w:top w:val="nil"/>
              <w:left w:val="single" w:sz="4" w:space="0" w:color="auto"/>
              <w:bottom w:val="single" w:sz="4" w:space="0" w:color="auto"/>
              <w:right w:val="single" w:sz="4" w:space="0" w:color="auto"/>
            </w:tcBorders>
            <w:noWrap/>
            <w:vAlign w:val="bottom"/>
            <w:hideMark/>
          </w:tcPr>
          <w:p w14:paraId="62B74A26"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2024</w:t>
            </w:r>
          </w:p>
        </w:tc>
        <w:tc>
          <w:tcPr>
            <w:tcW w:w="1080" w:type="dxa"/>
            <w:tcBorders>
              <w:top w:val="nil"/>
              <w:left w:val="nil"/>
              <w:bottom w:val="single" w:sz="4" w:space="0" w:color="auto"/>
              <w:right w:val="single" w:sz="4" w:space="0" w:color="auto"/>
            </w:tcBorders>
            <w:noWrap/>
            <w:vAlign w:val="bottom"/>
            <w:hideMark/>
          </w:tcPr>
          <w:p w14:paraId="2CA48480"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65</w:t>
            </w:r>
          </w:p>
        </w:tc>
        <w:tc>
          <w:tcPr>
            <w:tcW w:w="1080" w:type="dxa"/>
            <w:tcBorders>
              <w:top w:val="nil"/>
              <w:left w:val="nil"/>
              <w:bottom w:val="single" w:sz="4" w:space="0" w:color="auto"/>
              <w:right w:val="single" w:sz="4" w:space="0" w:color="auto"/>
            </w:tcBorders>
            <w:noWrap/>
            <w:vAlign w:val="bottom"/>
            <w:hideMark/>
          </w:tcPr>
          <w:p w14:paraId="3E7BDD2B"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1</w:t>
            </w:r>
          </w:p>
        </w:tc>
        <w:tc>
          <w:tcPr>
            <w:tcW w:w="1080" w:type="dxa"/>
            <w:tcBorders>
              <w:top w:val="nil"/>
              <w:left w:val="nil"/>
              <w:bottom w:val="single" w:sz="4" w:space="0" w:color="auto"/>
              <w:right w:val="single" w:sz="4" w:space="0" w:color="auto"/>
            </w:tcBorders>
            <w:noWrap/>
            <w:vAlign w:val="bottom"/>
            <w:hideMark/>
          </w:tcPr>
          <w:p w14:paraId="30E09D14"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10</w:t>
            </w:r>
          </w:p>
        </w:tc>
      </w:tr>
      <w:tr w:rsidR="001D5B6B" w:rsidRPr="006B5839" w14:paraId="31CD43F1" w14:textId="77777777" w:rsidTr="001D5B6B">
        <w:trPr>
          <w:trHeight w:val="285"/>
        </w:trPr>
        <w:tc>
          <w:tcPr>
            <w:tcW w:w="1080" w:type="dxa"/>
            <w:tcBorders>
              <w:top w:val="nil"/>
              <w:left w:val="single" w:sz="4" w:space="0" w:color="auto"/>
              <w:bottom w:val="single" w:sz="4" w:space="0" w:color="auto"/>
              <w:right w:val="single" w:sz="4" w:space="0" w:color="auto"/>
            </w:tcBorders>
            <w:noWrap/>
            <w:vAlign w:val="bottom"/>
            <w:hideMark/>
          </w:tcPr>
          <w:p w14:paraId="3769BC78"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2025</w:t>
            </w:r>
          </w:p>
        </w:tc>
        <w:tc>
          <w:tcPr>
            <w:tcW w:w="1080" w:type="dxa"/>
            <w:tcBorders>
              <w:top w:val="nil"/>
              <w:left w:val="nil"/>
              <w:bottom w:val="single" w:sz="4" w:space="0" w:color="auto"/>
              <w:right w:val="single" w:sz="4" w:space="0" w:color="auto"/>
            </w:tcBorders>
            <w:noWrap/>
            <w:vAlign w:val="bottom"/>
            <w:hideMark/>
          </w:tcPr>
          <w:p w14:paraId="6E701C7C"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66</w:t>
            </w:r>
          </w:p>
        </w:tc>
        <w:tc>
          <w:tcPr>
            <w:tcW w:w="1080" w:type="dxa"/>
            <w:tcBorders>
              <w:top w:val="nil"/>
              <w:left w:val="nil"/>
              <w:bottom w:val="single" w:sz="4" w:space="0" w:color="auto"/>
              <w:right w:val="single" w:sz="4" w:space="0" w:color="auto"/>
            </w:tcBorders>
            <w:noWrap/>
            <w:vAlign w:val="bottom"/>
            <w:hideMark/>
          </w:tcPr>
          <w:p w14:paraId="5E01B988"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7</w:t>
            </w:r>
          </w:p>
        </w:tc>
        <w:tc>
          <w:tcPr>
            <w:tcW w:w="1080" w:type="dxa"/>
            <w:tcBorders>
              <w:top w:val="nil"/>
              <w:left w:val="nil"/>
              <w:bottom w:val="single" w:sz="4" w:space="0" w:color="auto"/>
              <w:right w:val="single" w:sz="4" w:space="0" w:color="auto"/>
            </w:tcBorders>
            <w:noWrap/>
            <w:vAlign w:val="bottom"/>
            <w:hideMark/>
          </w:tcPr>
          <w:p w14:paraId="0337733F"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0</w:t>
            </w:r>
          </w:p>
        </w:tc>
      </w:tr>
      <w:tr w:rsidR="001D5B6B" w:rsidRPr="006B5839" w14:paraId="5CFAB2D8" w14:textId="77777777" w:rsidTr="001D5B6B">
        <w:trPr>
          <w:trHeight w:val="285"/>
        </w:trPr>
        <w:tc>
          <w:tcPr>
            <w:tcW w:w="1080" w:type="dxa"/>
            <w:tcBorders>
              <w:top w:val="nil"/>
              <w:left w:val="single" w:sz="4" w:space="0" w:color="auto"/>
              <w:bottom w:val="single" w:sz="4" w:space="0" w:color="auto"/>
              <w:right w:val="single" w:sz="4" w:space="0" w:color="auto"/>
            </w:tcBorders>
            <w:noWrap/>
            <w:vAlign w:val="bottom"/>
            <w:hideMark/>
          </w:tcPr>
          <w:p w14:paraId="2AB430B8" w14:textId="77777777"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2026</w:t>
            </w:r>
          </w:p>
        </w:tc>
        <w:tc>
          <w:tcPr>
            <w:tcW w:w="1080" w:type="dxa"/>
            <w:tcBorders>
              <w:top w:val="nil"/>
              <w:left w:val="nil"/>
              <w:bottom w:val="single" w:sz="4" w:space="0" w:color="auto"/>
              <w:right w:val="single" w:sz="4" w:space="0" w:color="auto"/>
            </w:tcBorders>
            <w:noWrap/>
            <w:vAlign w:val="bottom"/>
            <w:hideMark/>
          </w:tcPr>
          <w:p w14:paraId="5DBDD736" w14:textId="7280EDE0" w:rsidR="001D5B6B" w:rsidRPr="006B5839" w:rsidRDefault="003605C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Pr>
                <w:rFonts w:ascii="Aptos Narrow" w:eastAsia="Times New Roman" w:hAnsi="Aptos Narrow" w:cs="Times New Roman"/>
                <w:color w:val="000000"/>
                <w:kern w:val="0"/>
                <w:sz w:val="22"/>
                <w:szCs w:val="22"/>
                <w:lang w:eastAsia="et-EE"/>
                <w14:ligatures w14:val="none"/>
              </w:rPr>
              <w:t>5</w:t>
            </w:r>
            <w:r w:rsidR="00EF241C">
              <w:rPr>
                <w:rFonts w:ascii="Aptos Narrow" w:eastAsia="Times New Roman" w:hAnsi="Aptos Narrow" w:cs="Times New Roman"/>
                <w:color w:val="000000"/>
                <w:kern w:val="0"/>
                <w:sz w:val="22"/>
                <w:szCs w:val="22"/>
                <w:lang w:eastAsia="et-EE"/>
                <w14:ligatures w14:val="none"/>
              </w:rPr>
              <w:t>4</w:t>
            </w:r>
          </w:p>
        </w:tc>
        <w:tc>
          <w:tcPr>
            <w:tcW w:w="1080" w:type="dxa"/>
            <w:tcBorders>
              <w:top w:val="nil"/>
              <w:left w:val="nil"/>
              <w:bottom w:val="single" w:sz="4" w:space="0" w:color="auto"/>
              <w:right w:val="single" w:sz="4" w:space="0" w:color="auto"/>
            </w:tcBorders>
            <w:noWrap/>
            <w:vAlign w:val="bottom"/>
            <w:hideMark/>
          </w:tcPr>
          <w:p w14:paraId="56F620B0" w14:textId="127CDAAC" w:rsidR="001D5B6B" w:rsidRPr="006B5839" w:rsidRDefault="003605C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Pr>
                <w:rFonts w:ascii="Aptos Narrow" w:eastAsia="Times New Roman" w:hAnsi="Aptos Narrow" w:cs="Times New Roman"/>
                <w:color w:val="000000"/>
                <w:kern w:val="0"/>
                <w:sz w:val="22"/>
                <w:szCs w:val="22"/>
                <w:lang w:eastAsia="et-EE"/>
                <w14:ligatures w14:val="none"/>
              </w:rPr>
              <w:t>8</w:t>
            </w:r>
          </w:p>
        </w:tc>
        <w:tc>
          <w:tcPr>
            <w:tcW w:w="1080" w:type="dxa"/>
            <w:tcBorders>
              <w:top w:val="nil"/>
              <w:left w:val="nil"/>
              <w:bottom w:val="single" w:sz="4" w:space="0" w:color="auto"/>
              <w:right w:val="single" w:sz="4" w:space="0" w:color="auto"/>
            </w:tcBorders>
            <w:noWrap/>
            <w:vAlign w:val="bottom"/>
            <w:hideMark/>
          </w:tcPr>
          <w:p w14:paraId="3B50D342" w14:textId="51EB5112" w:rsidR="001D5B6B" w:rsidRPr="006B5839" w:rsidRDefault="001D5B6B" w:rsidP="006B5839">
            <w:pPr>
              <w:spacing w:after="0" w:line="240" w:lineRule="auto"/>
              <w:jc w:val="center"/>
              <w:rPr>
                <w:rFonts w:ascii="Aptos Narrow" w:eastAsia="Times New Roman" w:hAnsi="Aptos Narrow" w:cs="Times New Roman"/>
                <w:color w:val="000000"/>
                <w:kern w:val="0"/>
                <w:sz w:val="22"/>
                <w:szCs w:val="22"/>
                <w:lang w:eastAsia="et-EE"/>
                <w14:ligatures w14:val="none"/>
              </w:rPr>
            </w:pPr>
            <w:r w:rsidRPr="006B5839">
              <w:rPr>
                <w:rFonts w:ascii="Aptos Narrow" w:eastAsia="Times New Roman" w:hAnsi="Aptos Narrow" w:cs="Times New Roman"/>
                <w:color w:val="000000"/>
                <w:kern w:val="0"/>
                <w:sz w:val="22"/>
                <w:szCs w:val="22"/>
                <w:lang w:eastAsia="et-EE"/>
                <w14:ligatures w14:val="none"/>
              </w:rPr>
              <w:t>20</w:t>
            </w:r>
            <w:r>
              <w:rPr>
                <w:rFonts w:ascii="Aptos Narrow" w:eastAsia="Times New Roman" w:hAnsi="Aptos Narrow" w:cs="Times New Roman"/>
                <w:color w:val="000000"/>
                <w:kern w:val="0"/>
                <w:sz w:val="22"/>
                <w:szCs w:val="22"/>
                <w:lang w:eastAsia="et-EE"/>
                <w14:ligatures w14:val="none"/>
              </w:rPr>
              <w:t>*</w:t>
            </w:r>
          </w:p>
        </w:tc>
      </w:tr>
    </w:tbl>
    <w:p w14:paraId="2A712A6D" w14:textId="77777777" w:rsidR="00422D93" w:rsidRDefault="006B5839" w:rsidP="00422D93">
      <w:pPr>
        <w:jc w:val="both"/>
      </w:pPr>
      <w:r>
        <w:t>*</w:t>
      </w:r>
      <w:r w:rsidR="00422D93" w:rsidRPr="00422D93">
        <w:t xml:space="preserve">Gaasivõrk AS-i üleminek püsi- ja muutuvtasust koosnevale hinnastruktuurile on toonud kaasa tavapärasest suurema päringute ja selgitustaotluste hulga. Analoogne olukord võib kujuneda kaugküttes, kui suureneb soojusettevõtjate taotluste arv </w:t>
      </w:r>
      <w:proofErr w:type="spellStart"/>
      <w:r w:rsidR="00422D93" w:rsidRPr="00422D93">
        <w:t>mitmekomponendilise</w:t>
      </w:r>
      <w:proofErr w:type="spellEnd"/>
      <w:r w:rsidR="00422D93" w:rsidRPr="00422D93">
        <w:t xml:space="preserve"> hinna kooskõlastamiseks, kuid samal ajal jääb puudulikuks soojusettevõtjate kohustus selgitada tarbijatele arusaadavalt hinna kujunemise põhimõtteid ja selle komponente.</w:t>
      </w:r>
    </w:p>
    <w:p w14:paraId="2420D6C9" w14:textId="6B31CB21" w:rsidR="004000EA" w:rsidRPr="004000EA" w:rsidRDefault="004000EA" w:rsidP="004000EA">
      <w:pPr>
        <w:jc w:val="both"/>
      </w:pPr>
      <w:r w:rsidRPr="004000EA">
        <w:lastRenderedPageBreak/>
        <w:t xml:space="preserve">Konkurentsiameti hinnangul ei saa kaugkütte </w:t>
      </w:r>
      <w:proofErr w:type="spellStart"/>
      <w:r w:rsidRPr="004000EA">
        <w:t>hinnaregulatsiooni</w:t>
      </w:r>
      <w:proofErr w:type="spellEnd"/>
      <w:r w:rsidRPr="004000EA">
        <w:t xml:space="preserve"> seadusandliku raamistiku puudulikkust kompenseerida </w:t>
      </w:r>
      <w:r>
        <w:t xml:space="preserve">ka nt </w:t>
      </w:r>
      <w:r w:rsidRPr="004000EA">
        <w:t xml:space="preserve">menetlustähtaegade pikendamisega. Pikem menetlustähtaeg ei muuda hinnakujunduse õiguslikke aluseid selgemaks ega vähenda nende rakendamiseks vajalikku ressursikulu. Seetõttu tuleks esmalt kõrvaldada probleemi põhjus ja sätestada </w:t>
      </w:r>
      <w:proofErr w:type="spellStart"/>
      <w:r w:rsidRPr="004000EA">
        <w:t>hinnaregulatsiooni</w:t>
      </w:r>
      <w:proofErr w:type="spellEnd"/>
      <w:r w:rsidRPr="004000EA">
        <w:t xml:space="preserve"> metoodika olulised aluspõhimõtted seaduses, mitte leevendada puuduliku regulatsiooni tagajärgi hinnamenetluseks ette nähtud aja pikendamise kaudu.</w:t>
      </w:r>
    </w:p>
    <w:p w14:paraId="41CF4E5B" w14:textId="68CB7093" w:rsidR="00D44921" w:rsidRDefault="00D44921" w:rsidP="00422D93">
      <w:pPr>
        <w:jc w:val="both"/>
      </w:pPr>
      <w:r>
        <w:t>Hinnamenetluste läbiviimise menetlustähtajad eriseadustes</w:t>
      </w:r>
      <w:r w:rsidR="00D719AF">
        <w:t xml:space="preserve"> on</w:t>
      </w:r>
      <w:r>
        <w:t>:</w:t>
      </w:r>
    </w:p>
    <w:p w14:paraId="0CACC9F6" w14:textId="5EE78C24" w:rsidR="00424087" w:rsidRDefault="00424087" w:rsidP="00424087">
      <w:r>
        <w:t>Post</w:t>
      </w:r>
      <w:r>
        <w:tab/>
      </w:r>
      <w:r>
        <w:tab/>
        <w:t xml:space="preserve">30+30= </w:t>
      </w:r>
      <w:r w:rsidR="00D32CE1">
        <w:t xml:space="preserve">kuni </w:t>
      </w:r>
      <w:r>
        <w:t>60 päeva</w:t>
      </w:r>
    </w:p>
    <w:p w14:paraId="59E9208E" w14:textId="37625CE5" w:rsidR="00D44921" w:rsidRPr="00422D93" w:rsidRDefault="000A7DFE" w:rsidP="00422D93">
      <w:pPr>
        <w:jc w:val="both"/>
      </w:pPr>
      <w:r>
        <w:t>Gaas</w:t>
      </w:r>
      <w:r w:rsidR="00593115">
        <w:t xml:space="preserve"> </w:t>
      </w:r>
      <w:r w:rsidR="00593115">
        <w:tab/>
      </w:r>
      <w:r w:rsidR="00593115">
        <w:tab/>
        <w:t xml:space="preserve">30+30= </w:t>
      </w:r>
      <w:r w:rsidR="00D32CE1">
        <w:t xml:space="preserve">kuni </w:t>
      </w:r>
      <w:r w:rsidR="00593115">
        <w:t>60 päeva</w:t>
      </w:r>
    </w:p>
    <w:p w14:paraId="33016658" w14:textId="54A0009A" w:rsidR="000A7DFE" w:rsidRDefault="000A7DFE" w:rsidP="00BF795F">
      <w:r>
        <w:t>Kaugküte</w:t>
      </w:r>
      <w:r w:rsidR="003A3792">
        <w:tab/>
        <w:t xml:space="preserve">30+60 = </w:t>
      </w:r>
      <w:r w:rsidR="00D32CE1">
        <w:t xml:space="preserve">kuni </w:t>
      </w:r>
      <w:r w:rsidR="003A3792">
        <w:t>90 päeva</w:t>
      </w:r>
    </w:p>
    <w:p w14:paraId="48C706EC" w14:textId="7173881F" w:rsidR="00DB0872" w:rsidRDefault="000A7DFE" w:rsidP="00DB0872">
      <w:r>
        <w:t>Veeteenus</w:t>
      </w:r>
      <w:r w:rsidR="00DB0872">
        <w:tab/>
        <w:t xml:space="preserve">30+60 = </w:t>
      </w:r>
      <w:r w:rsidR="00D32CE1">
        <w:t xml:space="preserve">kuni </w:t>
      </w:r>
      <w:r w:rsidR="00DB0872">
        <w:t>90 päeva</w:t>
      </w:r>
    </w:p>
    <w:p w14:paraId="53C4F7E9" w14:textId="4DE4475D" w:rsidR="00424087" w:rsidRDefault="00424087" w:rsidP="00424087">
      <w:r>
        <w:t>Elekter</w:t>
      </w:r>
      <w:r w:rsidR="00D32CE1">
        <w:tab/>
        <w:t>90+90 = kuni 180 päeva</w:t>
      </w:r>
    </w:p>
    <w:p w14:paraId="07060E5B" w14:textId="535406BF" w:rsidR="004D4444" w:rsidRDefault="004D4444" w:rsidP="00BF795F"/>
    <w:p w14:paraId="1CE68D3C" w14:textId="3E9F5FE1" w:rsidR="00424087" w:rsidRDefault="00424087" w:rsidP="00DB0872"/>
    <w:sectPr w:rsidR="004240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F0912" w14:textId="77777777" w:rsidR="00817FA5" w:rsidRDefault="00817FA5" w:rsidP="00D309E0">
      <w:pPr>
        <w:spacing w:after="0" w:line="240" w:lineRule="auto"/>
      </w:pPr>
      <w:r>
        <w:separator/>
      </w:r>
    </w:p>
  </w:endnote>
  <w:endnote w:type="continuationSeparator" w:id="0">
    <w:p w14:paraId="08AAD2C7" w14:textId="77777777" w:rsidR="00817FA5" w:rsidRDefault="00817FA5" w:rsidP="00D3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4DF62" w14:textId="77777777" w:rsidR="00817FA5" w:rsidRDefault="00817FA5" w:rsidP="00D309E0">
      <w:pPr>
        <w:spacing w:after="0" w:line="240" w:lineRule="auto"/>
      </w:pPr>
      <w:r>
        <w:separator/>
      </w:r>
    </w:p>
  </w:footnote>
  <w:footnote w:type="continuationSeparator" w:id="0">
    <w:p w14:paraId="3AABEC80" w14:textId="77777777" w:rsidR="00817FA5" w:rsidRDefault="00817FA5" w:rsidP="00D309E0">
      <w:pPr>
        <w:spacing w:after="0" w:line="240" w:lineRule="auto"/>
      </w:pPr>
      <w:r>
        <w:continuationSeparator/>
      </w:r>
    </w:p>
  </w:footnote>
  <w:footnote w:id="1">
    <w:p w14:paraId="628FED9A" w14:textId="2D2D5152" w:rsidR="00D309E0" w:rsidRDefault="00D309E0">
      <w:pPr>
        <w:pStyle w:val="Allmrkusetekst"/>
      </w:pPr>
      <w:r>
        <w:rPr>
          <w:rStyle w:val="Allmrkuseviide"/>
        </w:rPr>
        <w:footnoteRef/>
      </w:r>
      <w:r>
        <w:t xml:space="preserve"> Kui ü</w:t>
      </w:r>
      <w:r w:rsidR="009F4E92">
        <w:t xml:space="preserve">hele selgitustaotlusele vastamine on eeldanud nt ärisaladuse eemaldamist </w:t>
      </w:r>
      <w:r w:rsidR="003C7EFA">
        <w:t xml:space="preserve">kolme </w:t>
      </w:r>
      <w:r w:rsidR="009F4E92">
        <w:t xml:space="preserve">erineva </w:t>
      </w:r>
      <w:r w:rsidR="00672B97">
        <w:t xml:space="preserve">ettevõtja </w:t>
      </w:r>
      <w:r w:rsidR="003C7EFA">
        <w:t>kümnest</w:t>
      </w:r>
      <w:r w:rsidR="00672B97">
        <w:t xml:space="preserve"> erinevast dokumendist, on se</w:t>
      </w:r>
      <w:r w:rsidR="00F24A5E">
        <w:t>e loetu</w:t>
      </w:r>
      <w:r w:rsidR="00A40510">
        <w:t>d ü</w:t>
      </w:r>
      <w:r w:rsidR="00672B97">
        <w:t>heks</w:t>
      </w:r>
      <w:r w:rsidR="00A40510">
        <w:t xml:space="preserve"> tegevuseks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CF3"/>
    <w:rsid w:val="0000184E"/>
    <w:rsid w:val="000129BE"/>
    <w:rsid w:val="00032879"/>
    <w:rsid w:val="00083BA4"/>
    <w:rsid w:val="000A23D8"/>
    <w:rsid w:val="000A7DFE"/>
    <w:rsid w:val="000B44AA"/>
    <w:rsid w:val="000E0392"/>
    <w:rsid w:val="000E7930"/>
    <w:rsid w:val="001310BC"/>
    <w:rsid w:val="001719E4"/>
    <w:rsid w:val="00190C8F"/>
    <w:rsid w:val="001B1FEC"/>
    <w:rsid w:val="001B4D1F"/>
    <w:rsid w:val="001D5B6B"/>
    <w:rsid w:val="001E2EF7"/>
    <w:rsid w:val="001E61F0"/>
    <w:rsid w:val="00252452"/>
    <w:rsid w:val="002621A9"/>
    <w:rsid w:val="00262249"/>
    <w:rsid w:val="00265F34"/>
    <w:rsid w:val="002A6C97"/>
    <w:rsid w:val="002B033F"/>
    <w:rsid w:val="002C2A6D"/>
    <w:rsid w:val="002E085F"/>
    <w:rsid w:val="002E1842"/>
    <w:rsid w:val="002F1012"/>
    <w:rsid w:val="00307F1A"/>
    <w:rsid w:val="003204B4"/>
    <w:rsid w:val="00323FF6"/>
    <w:rsid w:val="003271F8"/>
    <w:rsid w:val="003605CB"/>
    <w:rsid w:val="00382509"/>
    <w:rsid w:val="003A3792"/>
    <w:rsid w:val="003C3381"/>
    <w:rsid w:val="003C7EFA"/>
    <w:rsid w:val="003F04AB"/>
    <w:rsid w:val="004000EA"/>
    <w:rsid w:val="00413E83"/>
    <w:rsid w:val="00422D93"/>
    <w:rsid w:val="00424087"/>
    <w:rsid w:val="0047202C"/>
    <w:rsid w:val="004966BD"/>
    <w:rsid w:val="004D4444"/>
    <w:rsid w:val="004F1169"/>
    <w:rsid w:val="005260D2"/>
    <w:rsid w:val="00534C44"/>
    <w:rsid w:val="00535C10"/>
    <w:rsid w:val="00565549"/>
    <w:rsid w:val="005854CE"/>
    <w:rsid w:val="00593115"/>
    <w:rsid w:val="0059762F"/>
    <w:rsid w:val="005A6B5C"/>
    <w:rsid w:val="005E1181"/>
    <w:rsid w:val="005E7AAC"/>
    <w:rsid w:val="005F725F"/>
    <w:rsid w:val="00614245"/>
    <w:rsid w:val="006224C7"/>
    <w:rsid w:val="00634F17"/>
    <w:rsid w:val="00660802"/>
    <w:rsid w:val="00672B97"/>
    <w:rsid w:val="00691C06"/>
    <w:rsid w:val="006A3677"/>
    <w:rsid w:val="006B5839"/>
    <w:rsid w:val="0071207F"/>
    <w:rsid w:val="007417F2"/>
    <w:rsid w:val="00770AD0"/>
    <w:rsid w:val="00771129"/>
    <w:rsid w:val="007B044D"/>
    <w:rsid w:val="007B5CF8"/>
    <w:rsid w:val="007D39C4"/>
    <w:rsid w:val="007E45EF"/>
    <w:rsid w:val="0080539D"/>
    <w:rsid w:val="00817FA5"/>
    <w:rsid w:val="00825085"/>
    <w:rsid w:val="008606E1"/>
    <w:rsid w:val="008B2643"/>
    <w:rsid w:val="008D126C"/>
    <w:rsid w:val="008D28F4"/>
    <w:rsid w:val="008F6E78"/>
    <w:rsid w:val="0091655B"/>
    <w:rsid w:val="00954572"/>
    <w:rsid w:val="00963140"/>
    <w:rsid w:val="0099101D"/>
    <w:rsid w:val="009F4E92"/>
    <w:rsid w:val="00A019C0"/>
    <w:rsid w:val="00A17439"/>
    <w:rsid w:val="00A21545"/>
    <w:rsid w:val="00A24A6E"/>
    <w:rsid w:val="00A40510"/>
    <w:rsid w:val="00A46531"/>
    <w:rsid w:val="00A74CED"/>
    <w:rsid w:val="00A82ED6"/>
    <w:rsid w:val="00AD216F"/>
    <w:rsid w:val="00B040C1"/>
    <w:rsid w:val="00B115C4"/>
    <w:rsid w:val="00B33CF3"/>
    <w:rsid w:val="00B357DA"/>
    <w:rsid w:val="00B37A99"/>
    <w:rsid w:val="00B77C05"/>
    <w:rsid w:val="00B830F0"/>
    <w:rsid w:val="00B96088"/>
    <w:rsid w:val="00BB3BD4"/>
    <w:rsid w:val="00BD5852"/>
    <w:rsid w:val="00BF795F"/>
    <w:rsid w:val="00D01956"/>
    <w:rsid w:val="00D309E0"/>
    <w:rsid w:val="00D32CE1"/>
    <w:rsid w:val="00D42723"/>
    <w:rsid w:val="00D44921"/>
    <w:rsid w:val="00D57A4D"/>
    <w:rsid w:val="00D719AF"/>
    <w:rsid w:val="00DA3A78"/>
    <w:rsid w:val="00DB0872"/>
    <w:rsid w:val="00DC609E"/>
    <w:rsid w:val="00DE0931"/>
    <w:rsid w:val="00DE4106"/>
    <w:rsid w:val="00E16ADA"/>
    <w:rsid w:val="00E35759"/>
    <w:rsid w:val="00E705D9"/>
    <w:rsid w:val="00EA2A86"/>
    <w:rsid w:val="00EE0023"/>
    <w:rsid w:val="00EF241C"/>
    <w:rsid w:val="00F24A5E"/>
    <w:rsid w:val="00F2508F"/>
    <w:rsid w:val="00F40835"/>
    <w:rsid w:val="00F5152B"/>
    <w:rsid w:val="00FA2CE7"/>
    <w:rsid w:val="00FB7BF6"/>
    <w:rsid w:val="00FC0C5C"/>
    <w:rsid w:val="00FD59D0"/>
    <w:rsid w:val="00FE7AA5"/>
    <w:rsid w:val="00FF66B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2746"/>
  <w15:chartTrackingRefBased/>
  <w15:docId w15:val="{12B86C05-0CC9-47C8-BA0D-A520A922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33CF3"/>
  </w:style>
  <w:style w:type="paragraph" w:styleId="Pealkiri1">
    <w:name w:val="heading 1"/>
    <w:basedOn w:val="Normaallaad"/>
    <w:next w:val="Normaallaad"/>
    <w:link w:val="Pealkiri1Mrk"/>
    <w:uiPriority w:val="9"/>
    <w:qFormat/>
    <w:rsid w:val="00B33C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33C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33CF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33CF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33CF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33CF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33CF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33CF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33CF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33CF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33CF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33CF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33CF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33CF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33CF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33CF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33CF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33CF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33C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33CF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33CF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33CF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33CF3"/>
    <w:pPr>
      <w:spacing w:before="160"/>
      <w:jc w:val="center"/>
    </w:pPr>
    <w:rPr>
      <w:i/>
      <w:iCs/>
      <w:color w:val="404040" w:themeColor="text1" w:themeTint="BF"/>
    </w:rPr>
  </w:style>
  <w:style w:type="character" w:customStyle="1" w:styleId="TsitaatMrk">
    <w:name w:val="Tsitaat Märk"/>
    <w:basedOn w:val="Liguvaikefont"/>
    <w:link w:val="Tsitaat"/>
    <w:uiPriority w:val="29"/>
    <w:rsid w:val="00B33CF3"/>
    <w:rPr>
      <w:i/>
      <w:iCs/>
      <w:color w:val="404040" w:themeColor="text1" w:themeTint="BF"/>
    </w:rPr>
  </w:style>
  <w:style w:type="paragraph" w:styleId="Loendilik">
    <w:name w:val="List Paragraph"/>
    <w:basedOn w:val="Normaallaad"/>
    <w:uiPriority w:val="34"/>
    <w:qFormat/>
    <w:rsid w:val="00B33CF3"/>
    <w:pPr>
      <w:ind w:left="720"/>
      <w:contextualSpacing/>
    </w:pPr>
  </w:style>
  <w:style w:type="character" w:styleId="Selgeltmrgatavrhutus">
    <w:name w:val="Intense Emphasis"/>
    <w:basedOn w:val="Liguvaikefont"/>
    <w:uiPriority w:val="21"/>
    <w:qFormat/>
    <w:rsid w:val="00B33CF3"/>
    <w:rPr>
      <w:i/>
      <w:iCs/>
      <w:color w:val="0F4761" w:themeColor="accent1" w:themeShade="BF"/>
    </w:rPr>
  </w:style>
  <w:style w:type="paragraph" w:styleId="Selgeltmrgatavtsitaat">
    <w:name w:val="Intense Quote"/>
    <w:basedOn w:val="Normaallaad"/>
    <w:next w:val="Normaallaad"/>
    <w:link w:val="SelgeltmrgatavtsitaatMrk"/>
    <w:uiPriority w:val="30"/>
    <w:qFormat/>
    <w:rsid w:val="00B33C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33CF3"/>
    <w:rPr>
      <w:i/>
      <w:iCs/>
      <w:color w:val="0F4761" w:themeColor="accent1" w:themeShade="BF"/>
    </w:rPr>
  </w:style>
  <w:style w:type="character" w:styleId="Selgeltmrgatavviide">
    <w:name w:val="Intense Reference"/>
    <w:basedOn w:val="Liguvaikefont"/>
    <w:uiPriority w:val="32"/>
    <w:qFormat/>
    <w:rsid w:val="00B33CF3"/>
    <w:rPr>
      <w:b/>
      <w:bCs/>
      <w:smallCaps/>
      <w:color w:val="0F4761" w:themeColor="accent1" w:themeShade="BF"/>
      <w:spacing w:val="5"/>
    </w:rPr>
  </w:style>
  <w:style w:type="paragraph" w:styleId="Allmrkusetekst">
    <w:name w:val="footnote text"/>
    <w:basedOn w:val="Normaallaad"/>
    <w:link w:val="AllmrkusetekstMrk"/>
    <w:uiPriority w:val="99"/>
    <w:semiHidden/>
    <w:unhideWhenUsed/>
    <w:rsid w:val="00D309E0"/>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D309E0"/>
    <w:rPr>
      <w:sz w:val="20"/>
      <w:szCs w:val="20"/>
    </w:rPr>
  </w:style>
  <w:style w:type="character" w:styleId="Allmrkuseviide">
    <w:name w:val="footnote reference"/>
    <w:basedOn w:val="Liguvaikefont"/>
    <w:uiPriority w:val="99"/>
    <w:semiHidden/>
    <w:unhideWhenUsed/>
    <w:rsid w:val="00D309E0"/>
    <w:rPr>
      <w:vertAlign w:val="superscript"/>
    </w:rPr>
  </w:style>
  <w:style w:type="paragraph" w:styleId="Pis">
    <w:name w:val="header"/>
    <w:basedOn w:val="Normaallaad"/>
    <w:link w:val="PisMrk"/>
    <w:uiPriority w:val="99"/>
    <w:semiHidden/>
    <w:unhideWhenUsed/>
    <w:rsid w:val="00DA3A78"/>
    <w:pPr>
      <w:tabs>
        <w:tab w:val="center" w:pos="4536"/>
        <w:tab w:val="right" w:pos="9072"/>
      </w:tabs>
      <w:spacing w:after="0" w:line="240" w:lineRule="auto"/>
    </w:pPr>
  </w:style>
  <w:style w:type="character" w:customStyle="1" w:styleId="PisMrk">
    <w:name w:val="Päis Märk"/>
    <w:basedOn w:val="Liguvaikefont"/>
    <w:link w:val="Pis"/>
    <w:uiPriority w:val="99"/>
    <w:semiHidden/>
    <w:rsid w:val="00DA3A78"/>
  </w:style>
  <w:style w:type="paragraph" w:styleId="Jalus">
    <w:name w:val="footer"/>
    <w:basedOn w:val="Normaallaad"/>
    <w:link w:val="JalusMrk"/>
    <w:uiPriority w:val="99"/>
    <w:semiHidden/>
    <w:unhideWhenUsed/>
    <w:rsid w:val="00DA3A78"/>
    <w:pPr>
      <w:tabs>
        <w:tab w:val="center" w:pos="4536"/>
        <w:tab w:val="right" w:pos="9072"/>
      </w:tabs>
      <w:spacing w:after="0" w:line="240" w:lineRule="auto"/>
    </w:pPr>
  </w:style>
  <w:style w:type="character" w:customStyle="1" w:styleId="JalusMrk">
    <w:name w:val="Jalus Märk"/>
    <w:basedOn w:val="Liguvaikefont"/>
    <w:link w:val="Jalus"/>
    <w:uiPriority w:val="99"/>
    <w:semiHidden/>
    <w:rsid w:val="00DA3A78"/>
  </w:style>
  <w:style w:type="paragraph" w:styleId="Redaktsioon">
    <w:name w:val="Revision"/>
    <w:hidden/>
    <w:uiPriority w:val="99"/>
    <w:semiHidden/>
    <w:rsid w:val="00A465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https://eegovg01.sharepoint.com/sites/SISE_KA/Dokumendid/osakonnad/Regulatsiooniteenistus/D%202026/01%20HRT/03%20Soojus/KK&#252;tS%20eeln&#245;u/maja-sisene/Sektorite%20osat&#228;htsus%20regulatsiooni%20al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8150481189851271E-2"/>
          <c:y val="0.17171296296296296"/>
          <c:w val="0.87129396325459318"/>
          <c:h val="0.5349835958005249"/>
        </c:manualLayout>
      </c:layout>
      <c:bar3DChart>
        <c:barDir val="col"/>
        <c:grouping val="percentStacked"/>
        <c:varyColors val="0"/>
        <c:ser>
          <c:idx val="0"/>
          <c:order val="0"/>
          <c:tx>
            <c:strRef>
              <c:f>Leht1!$B$4</c:f>
              <c:strCache>
                <c:ptCount val="1"/>
                <c:pt idx="0">
                  <c:v>Vee-ettevõtted</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Leht1!$D$3:$H$3</c:f>
              <c:strCache>
                <c:ptCount val="5"/>
                <c:pt idx="0">
                  <c:v>Käive mln €</c:v>
                </c:pt>
                <c:pt idx="1">
                  <c:v>Ettev/ vp</c:v>
                </c:pt>
                <c:pt idx="2">
                  <c:v>HRT ressurss</c:v>
                </c:pt>
                <c:pt idx="3">
                  <c:v>Käive per tööt</c:v>
                </c:pt>
                <c:pt idx="4">
                  <c:v>Ettev/ vp per tööt</c:v>
                </c:pt>
              </c:strCache>
              <c:extLst/>
            </c:strRef>
          </c:cat>
          <c:val>
            <c:numRef>
              <c:f>Leht1!$D$4:$H$4</c:f>
              <c:numCache>
                <c:formatCode>General</c:formatCode>
                <c:ptCount val="5"/>
                <c:pt idx="0" formatCode="0">
                  <c:v>163.98270900000009</c:v>
                </c:pt>
                <c:pt idx="1">
                  <c:v>69</c:v>
                </c:pt>
                <c:pt idx="2">
                  <c:v>4</c:v>
                </c:pt>
                <c:pt idx="3" formatCode="0">
                  <c:v>40.995677250000021</c:v>
                </c:pt>
                <c:pt idx="4" formatCode="0.0">
                  <c:v>17.25</c:v>
                </c:pt>
              </c:numCache>
              <c:extLst/>
            </c:numRef>
          </c:val>
          <c:extLst>
            <c:ext xmlns:c16="http://schemas.microsoft.com/office/drawing/2014/chart" uri="{C3380CC4-5D6E-409C-BE32-E72D297353CC}">
              <c16:uniqueId val="{00000000-AD75-4E45-B5F1-74C176A0F5AC}"/>
            </c:ext>
          </c:extLst>
        </c:ser>
        <c:ser>
          <c:idx val="1"/>
          <c:order val="1"/>
          <c:tx>
            <c:strRef>
              <c:f>Leht1!$B$5</c:f>
              <c:strCache>
                <c:ptCount val="1"/>
                <c:pt idx="0">
                  <c:v>Kaugkütte ettevõtted</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Leht1!$D$3:$H$3</c:f>
              <c:strCache>
                <c:ptCount val="5"/>
                <c:pt idx="0">
                  <c:v>Käive mln €</c:v>
                </c:pt>
                <c:pt idx="1">
                  <c:v>Ettev/ vp</c:v>
                </c:pt>
                <c:pt idx="2">
                  <c:v>HRT ressurss</c:v>
                </c:pt>
                <c:pt idx="3">
                  <c:v>Käive per tööt</c:v>
                </c:pt>
                <c:pt idx="4">
                  <c:v>Ettev/ vp per tööt</c:v>
                </c:pt>
              </c:strCache>
              <c:extLst/>
            </c:strRef>
          </c:cat>
          <c:val>
            <c:numRef>
              <c:f>Leht1!$D$5:$H$5</c:f>
              <c:numCache>
                <c:formatCode>General</c:formatCode>
                <c:ptCount val="5"/>
                <c:pt idx="0" formatCode="0">
                  <c:v>530.00799340834715</c:v>
                </c:pt>
                <c:pt idx="1">
                  <c:v>202</c:v>
                </c:pt>
                <c:pt idx="2">
                  <c:v>5.5</c:v>
                </c:pt>
                <c:pt idx="3" formatCode="0">
                  <c:v>96.365089710608572</c:v>
                </c:pt>
                <c:pt idx="4" formatCode="0.0">
                  <c:v>36.727272727272727</c:v>
                </c:pt>
              </c:numCache>
              <c:extLst/>
            </c:numRef>
          </c:val>
          <c:extLst>
            <c:ext xmlns:c16="http://schemas.microsoft.com/office/drawing/2014/chart" uri="{C3380CC4-5D6E-409C-BE32-E72D297353CC}">
              <c16:uniqueId val="{00000001-AD75-4E45-B5F1-74C176A0F5AC}"/>
            </c:ext>
          </c:extLst>
        </c:ser>
        <c:ser>
          <c:idx val="2"/>
          <c:order val="2"/>
          <c:tx>
            <c:strRef>
              <c:f>Leht1!$B$6</c:f>
              <c:strCache>
                <c:ptCount val="1"/>
                <c:pt idx="0">
                  <c:v>Elektri võrguettevõtted</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Leht1!$D$3:$H$3</c:f>
              <c:strCache>
                <c:ptCount val="5"/>
                <c:pt idx="0">
                  <c:v>Käive mln €</c:v>
                </c:pt>
                <c:pt idx="1">
                  <c:v>Ettev/ vp</c:v>
                </c:pt>
                <c:pt idx="2">
                  <c:v>HRT ressurss</c:v>
                </c:pt>
                <c:pt idx="3">
                  <c:v>Käive per tööt</c:v>
                </c:pt>
                <c:pt idx="4">
                  <c:v>Ettev/ vp per tööt</c:v>
                </c:pt>
              </c:strCache>
              <c:extLst/>
            </c:strRef>
          </c:cat>
          <c:val>
            <c:numRef>
              <c:f>Leht1!$D$6:$H$6</c:f>
              <c:numCache>
                <c:formatCode>General</c:formatCode>
                <c:ptCount val="5"/>
                <c:pt idx="0" formatCode="0">
                  <c:v>437.22848028200002</c:v>
                </c:pt>
                <c:pt idx="1">
                  <c:v>30</c:v>
                </c:pt>
                <c:pt idx="2">
                  <c:v>2</c:v>
                </c:pt>
                <c:pt idx="3" formatCode="0">
                  <c:v>218.61424014100001</c:v>
                </c:pt>
                <c:pt idx="4" formatCode="0.0">
                  <c:v>15</c:v>
                </c:pt>
              </c:numCache>
              <c:extLst/>
            </c:numRef>
          </c:val>
          <c:extLst>
            <c:ext xmlns:c16="http://schemas.microsoft.com/office/drawing/2014/chart" uri="{C3380CC4-5D6E-409C-BE32-E72D297353CC}">
              <c16:uniqueId val="{00000002-AD75-4E45-B5F1-74C176A0F5AC}"/>
            </c:ext>
          </c:extLst>
        </c:ser>
        <c:ser>
          <c:idx val="3"/>
          <c:order val="3"/>
          <c:tx>
            <c:strRef>
              <c:f>Leht1!$B$7</c:f>
              <c:strCache>
                <c:ptCount val="1"/>
                <c:pt idx="0">
                  <c:v>Gaasi võrguettevõtted</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Leht1!$D$3:$H$3</c:f>
              <c:strCache>
                <c:ptCount val="5"/>
                <c:pt idx="0">
                  <c:v>Käive mln €</c:v>
                </c:pt>
                <c:pt idx="1">
                  <c:v>Ettev/ vp</c:v>
                </c:pt>
                <c:pt idx="2">
                  <c:v>HRT ressurss</c:v>
                </c:pt>
                <c:pt idx="3">
                  <c:v>Käive per tööt</c:v>
                </c:pt>
                <c:pt idx="4">
                  <c:v>Ettev/ vp per tööt</c:v>
                </c:pt>
              </c:strCache>
              <c:extLst/>
            </c:strRef>
          </c:cat>
          <c:val>
            <c:numRef>
              <c:f>Leht1!$D$7:$H$7</c:f>
              <c:numCache>
                <c:formatCode>General</c:formatCode>
                <c:ptCount val="5"/>
                <c:pt idx="0" formatCode="0">
                  <c:v>77.938976999999994</c:v>
                </c:pt>
                <c:pt idx="1">
                  <c:v>21</c:v>
                </c:pt>
                <c:pt idx="2">
                  <c:v>0.5</c:v>
                </c:pt>
                <c:pt idx="3" formatCode="0">
                  <c:v>155.87795399999999</c:v>
                </c:pt>
                <c:pt idx="4" formatCode="0.0">
                  <c:v>42</c:v>
                </c:pt>
              </c:numCache>
              <c:extLst/>
            </c:numRef>
          </c:val>
          <c:extLst>
            <c:ext xmlns:c16="http://schemas.microsoft.com/office/drawing/2014/chart" uri="{C3380CC4-5D6E-409C-BE32-E72D297353CC}">
              <c16:uniqueId val="{00000003-AD75-4E45-B5F1-74C176A0F5AC}"/>
            </c:ext>
          </c:extLst>
        </c:ser>
        <c:ser>
          <c:idx val="4"/>
          <c:order val="4"/>
          <c:tx>
            <c:strRef>
              <c:f>Leht1!$B$8</c:f>
              <c:strCache>
                <c:ptCount val="1"/>
                <c:pt idx="0">
                  <c:v>Postiettevõte</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Leht1!$D$3:$H$3</c:f>
              <c:strCache>
                <c:ptCount val="5"/>
                <c:pt idx="0">
                  <c:v>Käive mln €</c:v>
                </c:pt>
                <c:pt idx="1">
                  <c:v>Ettev/ vp</c:v>
                </c:pt>
                <c:pt idx="2">
                  <c:v>HRT ressurss</c:v>
                </c:pt>
                <c:pt idx="3">
                  <c:v>Käive per tööt</c:v>
                </c:pt>
                <c:pt idx="4">
                  <c:v>Ettev/ vp per tööt</c:v>
                </c:pt>
              </c:strCache>
              <c:extLst/>
            </c:strRef>
          </c:cat>
          <c:val>
            <c:numRef>
              <c:f>Leht1!$D$8:$H$8</c:f>
              <c:numCache>
                <c:formatCode>General</c:formatCode>
                <c:ptCount val="5"/>
                <c:pt idx="0" formatCode="0">
                  <c:v>7.5725299699999997</c:v>
                </c:pt>
                <c:pt idx="1">
                  <c:v>1</c:v>
                </c:pt>
                <c:pt idx="2">
                  <c:v>2</c:v>
                </c:pt>
                <c:pt idx="3" formatCode="0">
                  <c:v>3.7862649849999999</c:v>
                </c:pt>
                <c:pt idx="4" formatCode="0.0">
                  <c:v>0.5</c:v>
                </c:pt>
              </c:numCache>
              <c:extLst/>
            </c:numRef>
          </c:val>
          <c:extLst>
            <c:ext xmlns:c16="http://schemas.microsoft.com/office/drawing/2014/chart" uri="{C3380CC4-5D6E-409C-BE32-E72D297353CC}">
              <c16:uniqueId val="{00000004-AD75-4E45-B5F1-74C176A0F5AC}"/>
            </c:ext>
          </c:extLst>
        </c:ser>
        <c:dLbls>
          <c:showLegendKey val="0"/>
          <c:showVal val="0"/>
          <c:showCatName val="0"/>
          <c:showSerName val="0"/>
          <c:showPercent val="0"/>
          <c:showBubbleSize val="0"/>
        </c:dLbls>
        <c:gapWidth val="150"/>
        <c:shape val="box"/>
        <c:axId val="1356421471"/>
        <c:axId val="1343483311"/>
        <c:axId val="0"/>
      </c:bar3DChart>
      <c:catAx>
        <c:axId val="135642147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43483311"/>
        <c:crosses val="autoZero"/>
        <c:auto val="1"/>
        <c:lblAlgn val="ctr"/>
        <c:lblOffset val="100"/>
        <c:noMultiLvlLbl val="0"/>
      </c:catAx>
      <c:valAx>
        <c:axId val="13434833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56421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749D668F19BD48B87BD7D5F4979FA7" ma:contentTypeVersion="17" ma:contentTypeDescription="Loo uus dokument" ma:contentTypeScope="" ma:versionID="48c23a9cc0c49a668e615eebfa4a5a25">
  <xsd:schema xmlns:xsd="http://www.w3.org/2001/XMLSchema" xmlns:xs="http://www.w3.org/2001/XMLSchema" xmlns:p="http://schemas.microsoft.com/office/2006/metadata/properties" xmlns:ns2="1345c74a-1281-423b-a9e9-aae9777db840" xmlns:ns3="3295c408-e6ec-4eb5-98e0-5ebea828c244" targetNamespace="http://schemas.microsoft.com/office/2006/metadata/properties" ma:root="true" ma:fieldsID="3bb985e12e35d01d7daa3e2bb81ac7dd" ns2:_="" ns3:_="">
    <xsd:import namespace="1345c74a-1281-423b-a9e9-aae9777db840"/>
    <xsd:import namespace="3295c408-e6ec-4eb5-98e0-5ebea828c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S_x00fc_ndmuset_x00fc__x00fc_p" minOccurs="0"/>
                <xsd:element ref="ns2:S_x00fc_ndmusekuup_x00e4_ev"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c74a-1281-423b-a9e9-aae9777db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S_x00fc_ndmuset_x00fc__x00fc_p" ma:index="22" nillable="true" ma:displayName="Sündmuse tüüp" ma:format="Dropdown" ma:internalName="S_x00fc_ndmuset_x00fc__x00fc_p">
      <xsd:simpleType>
        <xsd:restriction base="dms:Choice">
          <xsd:enumeration value="Peatumine algab"/>
          <xsd:enumeration value="Peatumine lõppeb"/>
        </xsd:restriction>
      </xsd:simpleType>
    </xsd:element>
    <xsd:element name="S_x00fc_ndmusekuup_x00e4_ev" ma:index="23" nillable="true" ma:displayName="Sündmuse kuupäev" ma:format="DateOnly" ma:internalName="S_x00fc_ndmusekuup_x00e4_ev">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295c408-e6ec-4eb5-98e0-5ebea828c24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c5eb272-0539-425a-bc3b-c3908767166b}" ma:internalName="TaxCatchAll" ma:showField="CatchAllData" ma:web="3295c408-e6ec-4eb5-98e0-5ebea828c2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295c408-e6ec-4eb5-98e0-5ebea828c244" xsi:nil="true"/>
    <S_x00fc_ndmuset_x00fc__x00fc_p xmlns="1345c74a-1281-423b-a9e9-aae9777db840" xsi:nil="true"/>
    <lcf76f155ced4ddcb4097134ff3c332f xmlns="1345c74a-1281-423b-a9e9-aae9777db840">
      <Terms xmlns="http://schemas.microsoft.com/office/infopath/2007/PartnerControls"/>
    </lcf76f155ced4ddcb4097134ff3c332f>
    <S_x00fc_ndmusekuup_x00e4_ev xmlns="1345c74a-1281-423b-a9e9-aae9777db840" xsi:nil="true"/>
  </documentManagement>
</p:properties>
</file>

<file path=customXml/itemProps1.xml><?xml version="1.0" encoding="utf-8"?>
<ds:datastoreItem xmlns:ds="http://schemas.openxmlformats.org/officeDocument/2006/customXml" ds:itemID="{2897EC18-CE54-4C52-959D-47B7A0BE0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c74a-1281-423b-a9e9-aae9777db840"/>
    <ds:schemaRef ds:uri="3295c408-e6ec-4eb5-98e0-5ebea828c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2585F4-ABA4-4BF1-BC85-592C86E36564}">
  <ds:schemaRefs>
    <ds:schemaRef ds:uri="http://schemas.openxmlformats.org/officeDocument/2006/bibliography"/>
  </ds:schemaRefs>
</ds:datastoreItem>
</file>

<file path=customXml/itemProps3.xml><?xml version="1.0" encoding="utf-8"?>
<ds:datastoreItem xmlns:ds="http://schemas.openxmlformats.org/officeDocument/2006/customXml" ds:itemID="{449C24F2-512A-46D3-8EA5-BD31C1C81F31}">
  <ds:schemaRefs>
    <ds:schemaRef ds:uri="http://schemas.microsoft.com/sharepoint/v3/contenttype/forms"/>
  </ds:schemaRefs>
</ds:datastoreItem>
</file>

<file path=customXml/itemProps4.xml><?xml version="1.0" encoding="utf-8"?>
<ds:datastoreItem xmlns:ds="http://schemas.openxmlformats.org/officeDocument/2006/customXml" ds:itemID="{3430CAD6-9F93-4ADA-B54D-0868FB3B3D6C}">
  <ds:schemaRefs>
    <ds:schemaRef ds:uri="http://schemas.microsoft.com/office/2006/metadata/properties"/>
    <ds:schemaRef ds:uri="http://schemas.microsoft.com/office/infopath/2007/PartnerControls"/>
    <ds:schemaRef ds:uri="3295c408-e6ec-4eb5-98e0-5ebea828c244"/>
    <ds:schemaRef ds:uri="1345c74a-1281-423b-a9e9-aae9777db840"/>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3</Pages>
  <Words>604</Words>
  <Characters>4544</Characters>
  <Application>Microsoft Office Word</Application>
  <DocSecurity>0</DocSecurity>
  <Lines>78</Lines>
  <Paragraphs>42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Randmaa - KA</dc:creator>
  <cp:keywords/>
  <dc:description/>
  <cp:lastModifiedBy>Riina Randmaa - KA</cp:lastModifiedBy>
  <cp:revision>104</cp:revision>
  <dcterms:created xsi:type="dcterms:W3CDTF">2026-10-15T09:57:00Z</dcterms:created>
  <dcterms:modified xsi:type="dcterms:W3CDTF">2026-10-16T08:19:00Z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2026-10-15T12:43:49Z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5bc6afd2-5d9f-4d7b-8c12-d47100c8e890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0x0101007F749D668F19BD48B87BD7D5F4979FA7</vt:lpwstr>
  </property>
  <property fmtid="{D5CDD505-2E9C-101B-9397-08002B2CF9AE}" pid="11" name="MediaServiceImageTags">
    <vt:lpwstr/>
  </property>
  <property fmtid="{D5CDD505-2E9C-101B-9397-08002B2CF9AE}" pid="12" name="docLang">
    <vt:lpwstr>et</vt:lpwstr>
  </property>
</Properties>
</file>